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DC87" w14:textId="1B76E7A2" w:rsidR="00CE0E2B" w:rsidRPr="00015D96" w:rsidRDefault="00015D96" w:rsidP="0019511D">
      <w:pPr>
        <w:pStyle w:val="ContenuTitre"/>
        <w:pBdr>
          <w:top w:val="single" w:sz="2" w:space="1" w:color="002060"/>
        </w:pBdr>
      </w:pPr>
      <w:proofErr w:type="spellStart"/>
      <w:r w:rsidRPr="00015D96">
        <w:t>Analyste</w:t>
      </w:r>
      <w:proofErr w:type="spellEnd"/>
      <w:r w:rsidRPr="00015D96">
        <w:t xml:space="preserve"> métier – IQBBA Foundation Business</w:t>
      </w:r>
      <w:r>
        <w:t xml:space="preserve"> Analyst</w:t>
      </w:r>
    </w:p>
    <w:p w14:paraId="2439E097" w14:textId="279C29CA" w:rsidR="00CE0E2B" w:rsidRPr="00CE0E2B" w:rsidRDefault="00CE0E2B" w:rsidP="00CE0E2B">
      <w:pPr>
        <w:pStyle w:val="ContenuTitre"/>
        <w:rPr>
          <w:sz w:val="22"/>
          <w:szCs w:val="22"/>
          <w:lang w:val="fr-FR"/>
        </w:rPr>
      </w:pPr>
      <w:r w:rsidRPr="00CE0E2B">
        <w:rPr>
          <w:sz w:val="22"/>
          <w:szCs w:val="22"/>
          <w:lang w:val="fr-FR"/>
        </w:rPr>
        <w:t xml:space="preserve">Durée : </w:t>
      </w:r>
      <w:r w:rsidR="00EE484D">
        <w:rPr>
          <w:sz w:val="22"/>
          <w:szCs w:val="22"/>
          <w:lang w:val="fr-FR"/>
        </w:rPr>
        <w:t>3</w:t>
      </w:r>
      <w:r>
        <w:rPr>
          <w:sz w:val="22"/>
          <w:szCs w:val="22"/>
          <w:lang w:val="fr-FR"/>
        </w:rPr>
        <w:t xml:space="preserve"> </w:t>
      </w:r>
      <w:r w:rsidRPr="00CE0E2B">
        <w:rPr>
          <w:sz w:val="22"/>
          <w:szCs w:val="22"/>
          <w:lang w:val="fr-FR"/>
        </w:rPr>
        <w:t>jours</w:t>
      </w:r>
      <w:r w:rsidR="00551692">
        <w:rPr>
          <w:sz w:val="22"/>
          <w:szCs w:val="22"/>
          <w:lang w:val="fr-FR"/>
        </w:rPr>
        <w:t xml:space="preserve"> (</w:t>
      </w:r>
      <w:r w:rsidR="00EE484D">
        <w:rPr>
          <w:sz w:val="22"/>
          <w:szCs w:val="22"/>
          <w:lang w:val="fr-FR"/>
        </w:rPr>
        <w:t>21</w:t>
      </w:r>
      <w:r w:rsidR="00551692">
        <w:rPr>
          <w:sz w:val="22"/>
          <w:szCs w:val="22"/>
          <w:lang w:val="fr-FR"/>
        </w:rPr>
        <w:t xml:space="preserve"> heures)</w:t>
      </w:r>
      <w:r w:rsidR="00551692">
        <w:rPr>
          <w:sz w:val="22"/>
          <w:szCs w:val="22"/>
          <w:lang w:val="fr-FR"/>
        </w:rPr>
        <w:tab/>
      </w:r>
      <w:r w:rsidRPr="00CE0E2B">
        <w:rPr>
          <w:sz w:val="22"/>
          <w:szCs w:val="22"/>
          <w:lang w:val="fr-FR"/>
        </w:rPr>
        <w:tab/>
        <w:t>Réf de c</w:t>
      </w:r>
      <w:r>
        <w:rPr>
          <w:sz w:val="22"/>
          <w:szCs w:val="22"/>
          <w:lang w:val="fr-FR"/>
        </w:rPr>
        <w:t xml:space="preserve">ours : </w:t>
      </w:r>
      <w:r w:rsidR="00015D96">
        <w:rPr>
          <w:sz w:val="22"/>
          <w:szCs w:val="22"/>
          <w:lang w:val="fr-FR"/>
        </w:rPr>
        <w:t>IQBBA</w:t>
      </w:r>
    </w:p>
    <w:p w14:paraId="5B69C783" w14:textId="77777777" w:rsidR="00CE0E2B" w:rsidRPr="00CE0E2B" w:rsidRDefault="00CE0E2B" w:rsidP="004D3292">
      <w:pPr>
        <w:pStyle w:val="Contenutextezone"/>
        <w:pBdr>
          <w:bottom w:val="single" w:sz="2" w:space="1" w:color="002060"/>
        </w:pBdr>
      </w:pPr>
    </w:p>
    <w:p w14:paraId="3FE4FB90" w14:textId="77777777" w:rsidR="00CE0E2B" w:rsidRDefault="00CE0E2B" w:rsidP="00CE0E2B">
      <w:pPr>
        <w:pStyle w:val="Contenutitrezone"/>
      </w:pPr>
      <w:r>
        <w:t>Résumé</w:t>
      </w:r>
    </w:p>
    <w:p w14:paraId="66619BD8" w14:textId="2070A567" w:rsidR="00F27C92" w:rsidRDefault="00F94E2E" w:rsidP="004D3292">
      <w:pPr>
        <w:pStyle w:val="Contenutextezone"/>
        <w:rPr>
          <w:spacing w:val="-2"/>
        </w:rPr>
      </w:pPr>
      <w:r>
        <w:rPr>
          <w:spacing w:val="-2"/>
        </w:rPr>
        <w:t xml:space="preserve">La gestion des </w:t>
      </w:r>
      <w:r w:rsidR="005D697B">
        <w:rPr>
          <w:spacing w:val="-2"/>
        </w:rPr>
        <w:t xml:space="preserve">processus </w:t>
      </w:r>
      <w:r w:rsidR="00F83CF1">
        <w:rPr>
          <w:spacing w:val="-2"/>
        </w:rPr>
        <w:t xml:space="preserve">d’entreprise </w:t>
      </w:r>
      <w:r w:rsidR="00CD24F9">
        <w:rPr>
          <w:spacing w:val="-2"/>
        </w:rPr>
        <w:t>est une activité à réaliser de façon</w:t>
      </w:r>
      <w:r w:rsidR="00F27C92">
        <w:rPr>
          <w:spacing w:val="-2"/>
        </w:rPr>
        <w:t xml:space="preserve"> </w:t>
      </w:r>
      <w:r w:rsidR="00CD24F9">
        <w:rPr>
          <w:spacing w:val="-2"/>
        </w:rPr>
        <w:t xml:space="preserve">coordonnée et structurée. </w:t>
      </w:r>
    </w:p>
    <w:p w14:paraId="40291661" w14:textId="2A73EC81" w:rsidR="00CE0E2B" w:rsidRDefault="005D697B" w:rsidP="004D3292">
      <w:pPr>
        <w:pStyle w:val="Contenutextezone"/>
        <w:rPr>
          <w:spacing w:val="-2"/>
        </w:rPr>
      </w:pPr>
      <w:r>
        <w:rPr>
          <w:spacing w:val="-2"/>
        </w:rPr>
        <w:t xml:space="preserve">La formation </w:t>
      </w:r>
      <w:r w:rsidR="00AE17E5">
        <w:rPr>
          <w:spacing w:val="-2"/>
        </w:rPr>
        <w:t>« </w:t>
      </w:r>
      <w:r w:rsidRPr="005D697B">
        <w:rPr>
          <w:spacing w:val="-2"/>
        </w:rPr>
        <w:t xml:space="preserve">IQBBA </w:t>
      </w:r>
      <w:proofErr w:type="spellStart"/>
      <w:r w:rsidRPr="005D697B">
        <w:rPr>
          <w:spacing w:val="-2"/>
        </w:rPr>
        <w:t>Foundation</w:t>
      </w:r>
      <w:proofErr w:type="spellEnd"/>
      <w:r w:rsidRPr="005D697B">
        <w:rPr>
          <w:spacing w:val="-2"/>
        </w:rPr>
        <w:t xml:space="preserve"> Business Analyst</w:t>
      </w:r>
      <w:r w:rsidR="00AE17E5">
        <w:rPr>
          <w:spacing w:val="-2"/>
        </w:rPr>
        <w:t> »</w:t>
      </w:r>
      <w:r w:rsidR="00F27C92">
        <w:rPr>
          <w:spacing w:val="-2"/>
        </w:rPr>
        <w:t xml:space="preserve"> met en avant une approche </w:t>
      </w:r>
      <w:r w:rsidR="00F83CF1">
        <w:rPr>
          <w:spacing w:val="-2"/>
        </w:rPr>
        <w:t>d’évaluation</w:t>
      </w:r>
      <w:r w:rsidR="00FB4D91">
        <w:rPr>
          <w:spacing w:val="-2"/>
        </w:rPr>
        <w:t xml:space="preserve"> (bénéfices, risques)</w:t>
      </w:r>
      <w:r w:rsidR="00F94E2E">
        <w:rPr>
          <w:spacing w:val="-2"/>
        </w:rPr>
        <w:t xml:space="preserve">, de rédaction </w:t>
      </w:r>
      <w:r w:rsidR="00FB4D91">
        <w:rPr>
          <w:spacing w:val="-2"/>
        </w:rPr>
        <w:t xml:space="preserve">(outillée) </w:t>
      </w:r>
      <w:r w:rsidR="00F83CF1">
        <w:rPr>
          <w:spacing w:val="-2"/>
        </w:rPr>
        <w:t xml:space="preserve">des exigences </w:t>
      </w:r>
      <w:r w:rsidR="00FB4D91">
        <w:rPr>
          <w:spacing w:val="-2"/>
        </w:rPr>
        <w:t>et de pilotage de ces activités.</w:t>
      </w:r>
    </w:p>
    <w:p w14:paraId="4E00FEDE" w14:textId="77777777" w:rsidR="00CE0E2B" w:rsidRPr="004D3292" w:rsidRDefault="00CE0E2B" w:rsidP="004D3292">
      <w:pPr>
        <w:pStyle w:val="Contenutextezone"/>
        <w:pBdr>
          <w:bottom w:val="single" w:sz="2" w:space="1" w:color="002060"/>
        </w:pBdr>
      </w:pPr>
    </w:p>
    <w:p w14:paraId="76632AC4" w14:textId="19CAED17" w:rsidR="004D3292" w:rsidRDefault="004D3292" w:rsidP="00CE0E2B">
      <w:pPr>
        <w:pStyle w:val="Contenutitrezone"/>
      </w:pPr>
      <w:r>
        <w:t>Objectif de la formation</w:t>
      </w:r>
    </w:p>
    <w:p w14:paraId="259684CF" w14:textId="1BBF9690" w:rsidR="004D3292" w:rsidRPr="008749E7" w:rsidRDefault="008749E7" w:rsidP="008749E7">
      <w:pPr>
        <w:pStyle w:val="Contenutextezone"/>
        <w:spacing w:line="240" w:lineRule="auto"/>
        <w:ind w:right="45"/>
      </w:pPr>
      <w:r w:rsidRPr="008749E7">
        <w:t xml:space="preserve">A l’issue de la formation, le stagiaire sera capable d’assurer les missions inhérentes à l’analyse métier (ou « Business </w:t>
      </w:r>
      <w:proofErr w:type="spellStart"/>
      <w:r w:rsidRPr="008749E7">
        <w:t>Analysis</w:t>
      </w:r>
      <w:proofErr w:type="spellEnd"/>
      <w:r w:rsidRPr="008749E7">
        <w:t xml:space="preserve"> ») recouvrant l'ensemble des tâches, connaissances, outils et techniques nécessaires pour identifier les besoins des entreprises et déterminer des solutions à leurs problèmes. Il sera également en mesure d’obtenir la certification « IQBBA </w:t>
      </w:r>
      <w:proofErr w:type="spellStart"/>
      <w:r w:rsidRPr="008749E7">
        <w:t>Foundation</w:t>
      </w:r>
      <w:proofErr w:type="spellEnd"/>
      <w:r w:rsidRPr="008749E7">
        <w:t xml:space="preserve"> ».</w:t>
      </w:r>
    </w:p>
    <w:p w14:paraId="1FFFE004" w14:textId="77777777" w:rsidR="008749E7" w:rsidRDefault="008749E7" w:rsidP="004D3292">
      <w:pPr>
        <w:pStyle w:val="Contenutextezone"/>
        <w:pBdr>
          <w:bottom w:val="single" w:sz="2" w:space="1" w:color="002060"/>
        </w:pBdr>
      </w:pPr>
    </w:p>
    <w:p w14:paraId="35E91EE2" w14:textId="77D66164" w:rsidR="00CE0E2B" w:rsidRDefault="00CE0E2B" w:rsidP="00CE0E2B">
      <w:pPr>
        <w:pStyle w:val="Contenutitrezone"/>
      </w:pPr>
      <w:r>
        <w:t>Objectifs pédagogiques</w:t>
      </w:r>
    </w:p>
    <w:p w14:paraId="4BEB2DF7" w14:textId="35A8A9B8" w:rsidR="008749E7" w:rsidRPr="008749E7" w:rsidRDefault="003622DF" w:rsidP="008749E7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C</w:t>
      </w:r>
      <w:r w:rsidR="008749E7" w:rsidRPr="008749E7">
        <w:t xml:space="preserve">omprendre la discipline de </w:t>
      </w:r>
      <w:r w:rsidR="00BC11C9">
        <w:t xml:space="preserve">l’Analyse des processus métier </w:t>
      </w:r>
      <w:r w:rsidR="00AE17E5">
        <w:t>(</w:t>
      </w:r>
      <w:r w:rsidR="00A779EB">
        <w:t>« </w:t>
      </w:r>
      <w:r w:rsidR="008749E7" w:rsidRPr="008749E7">
        <w:t xml:space="preserve">Business </w:t>
      </w:r>
      <w:proofErr w:type="spellStart"/>
      <w:r w:rsidR="008749E7" w:rsidRPr="008749E7">
        <w:t>Analysis</w:t>
      </w:r>
      <w:proofErr w:type="spellEnd"/>
      <w:r w:rsidR="00A779EB">
        <w:t> »</w:t>
      </w:r>
      <w:r w:rsidR="00AE17E5">
        <w:t>)</w:t>
      </w:r>
    </w:p>
    <w:p w14:paraId="184F4CFA" w14:textId="7F62ABAF" w:rsidR="008749E7" w:rsidRPr="008749E7" w:rsidRDefault="003C78C5" w:rsidP="008749E7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I</w:t>
      </w:r>
      <w:r w:rsidR="008749E7" w:rsidRPr="008749E7">
        <w:t xml:space="preserve">dentifier les processus métiers et les parties prenantes </w:t>
      </w:r>
      <w:r w:rsidR="0041439F">
        <w:t xml:space="preserve">(rôles) </w:t>
      </w:r>
      <w:r w:rsidR="008749E7" w:rsidRPr="008749E7">
        <w:t xml:space="preserve">d'une organisation </w:t>
      </w:r>
    </w:p>
    <w:p w14:paraId="3548CA0B" w14:textId="24AD7919" w:rsidR="008749E7" w:rsidRPr="008749E7" w:rsidRDefault="0041439F" w:rsidP="008749E7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Savoir </w:t>
      </w:r>
      <w:r w:rsidR="008749E7" w:rsidRPr="008749E7">
        <w:t xml:space="preserve">modéliser </w:t>
      </w:r>
      <w:r>
        <w:t xml:space="preserve">/ rédiger </w:t>
      </w:r>
      <w:r w:rsidR="008749E7" w:rsidRPr="008749E7">
        <w:t xml:space="preserve">une exigence métier suivant une expression de besoin </w:t>
      </w:r>
    </w:p>
    <w:p w14:paraId="447BDCD1" w14:textId="5E75DAF4" w:rsidR="008749E7" w:rsidRPr="008749E7" w:rsidRDefault="00AE17E5" w:rsidP="008749E7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Lire </w:t>
      </w:r>
      <w:r w:rsidR="00E81EB2">
        <w:t xml:space="preserve">et évaluer un </w:t>
      </w:r>
      <w:r w:rsidR="008749E7" w:rsidRPr="008749E7">
        <w:t xml:space="preserve">référentiel </w:t>
      </w:r>
      <w:r w:rsidR="00E81EB2">
        <w:t>d’</w:t>
      </w:r>
      <w:r w:rsidR="008749E7" w:rsidRPr="008749E7">
        <w:t xml:space="preserve">exigences métier </w:t>
      </w:r>
    </w:p>
    <w:p w14:paraId="5ED30914" w14:textId="6A5DA924" w:rsidR="008749E7" w:rsidRPr="008749E7" w:rsidRDefault="003C78C5" w:rsidP="008749E7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Identifier </w:t>
      </w:r>
      <w:r w:rsidR="008749E7" w:rsidRPr="008749E7">
        <w:t xml:space="preserve">les </w:t>
      </w:r>
      <w:r>
        <w:t>solutions</w:t>
      </w:r>
      <w:r w:rsidR="008749E7" w:rsidRPr="008749E7">
        <w:t xml:space="preserve">, </w:t>
      </w:r>
      <w:r>
        <w:t xml:space="preserve">l’environnement </w:t>
      </w:r>
      <w:r w:rsidR="008749E7" w:rsidRPr="008749E7">
        <w:t xml:space="preserve">techniques et </w:t>
      </w:r>
      <w:r>
        <w:t xml:space="preserve">les </w:t>
      </w:r>
      <w:r w:rsidR="008749E7" w:rsidRPr="008749E7">
        <w:t xml:space="preserve">méthodes pour </w:t>
      </w:r>
      <w:r>
        <w:t xml:space="preserve">réaliser une </w:t>
      </w:r>
      <w:r w:rsidR="008749E7" w:rsidRPr="008749E7">
        <w:t xml:space="preserve">analyste </w:t>
      </w:r>
      <w:r>
        <w:t xml:space="preserve">des processus </w:t>
      </w:r>
      <w:r w:rsidR="008749E7" w:rsidRPr="008749E7">
        <w:t xml:space="preserve">métier </w:t>
      </w:r>
    </w:p>
    <w:p w14:paraId="61102539" w14:textId="3A500D1B" w:rsidR="008749E7" w:rsidRPr="008749E7" w:rsidRDefault="00AE17E5" w:rsidP="008749E7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P</w:t>
      </w:r>
      <w:r w:rsidR="008749E7" w:rsidRPr="008749E7">
        <w:t>ass</w:t>
      </w:r>
      <w:r>
        <w:t xml:space="preserve">age de </w:t>
      </w:r>
      <w:r w:rsidR="008749E7" w:rsidRPr="008749E7">
        <w:t>l'examen officiel de certification</w:t>
      </w:r>
      <w:r>
        <w:t xml:space="preserve"> « </w:t>
      </w:r>
      <w:r w:rsidRPr="00AE17E5">
        <w:t xml:space="preserve">IQBBA </w:t>
      </w:r>
      <w:proofErr w:type="spellStart"/>
      <w:r w:rsidRPr="00AE17E5">
        <w:t>Foundation</w:t>
      </w:r>
      <w:proofErr w:type="spellEnd"/>
      <w:r w:rsidRPr="00AE17E5">
        <w:t xml:space="preserve"> Business Analyst</w:t>
      </w:r>
      <w:r>
        <w:t> »</w:t>
      </w:r>
      <w:r w:rsidR="008749E7" w:rsidRPr="008749E7">
        <w:t xml:space="preserve"> </w:t>
      </w:r>
    </w:p>
    <w:p w14:paraId="5CA5A153" w14:textId="77777777" w:rsidR="00CE0E2B" w:rsidRPr="004D3292" w:rsidRDefault="00CE0E2B" w:rsidP="004D3292">
      <w:pPr>
        <w:pStyle w:val="Contenutextezone"/>
        <w:pBdr>
          <w:bottom w:val="single" w:sz="2" w:space="1" w:color="002060"/>
        </w:pBdr>
      </w:pPr>
    </w:p>
    <w:p w14:paraId="63C76CAC" w14:textId="77777777" w:rsidR="004D3292" w:rsidRDefault="004D3292" w:rsidP="004D3292">
      <w:pPr>
        <w:pStyle w:val="Contenutitrezone"/>
      </w:pPr>
      <w:r>
        <w:t>Public visé</w:t>
      </w:r>
    </w:p>
    <w:p w14:paraId="5E477EC0" w14:textId="7FD6643C" w:rsidR="004D3292" w:rsidRPr="008749E7" w:rsidRDefault="008749E7" w:rsidP="008749E7">
      <w:pPr>
        <w:pStyle w:val="Contenutextezone"/>
        <w:spacing w:line="240" w:lineRule="auto"/>
        <w:ind w:right="45"/>
      </w:pPr>
      <w:r w:rsidRPr="008749E7">
        <w:t xml:space="preserve">Professionnels de l'analyse des processus métier, de la modélisation de solutions : MOA, AMOA, Product </w:t>
      </w:r>
      <w:proofErr w:type="spellStart"/>
      <w:r w:rsidRPr="008749E7">
        <w:t>Owners</w:t>
      </w:r>
      <w:proofErr w:type="spellEnd"/>
      <w:r w:rsidRPr="008749E7">
        <w:t>, concepteurs de produits, architectes, analystes d'affaires…</w:t>
      </w:r>
    </w:p>
    <w:p w14:paraId="6E34561C" w14:textId="77777777" w:rsidR="008749E7" w:rsidRPr="004D3292" w:rsidRDefault="008749E7" w:rsidP="004D3292">
      <w:pPr>
        <w:pStyle w:val="Contenutextezone"/>
        <w:pBdr>
          <w:bottom w:val="single" w:sz="2" w:space="1" w:color="002060"/>
        </w:pBdr>
      </w:pPr>
    </w:p>
    <w:p w14:paraId="0DF52E86" w14:textId="410E4CD0" w:rsidR="00CE0E2B" w:rsidRDefault="00CE0E2B" w:rsidP="00CE0E2B">
      <w:pPr>
        <w:pStyle w:val="Contenutitrezone"/>
      </w:pPr>
      <w:r>
        <w:t>Prérequis</w:t>
      </w:r>
    </w:p>
    <w:p w14:paraId="1E92B129" w14:textId="7A267DF5" w:rsidR="00CE0E2B" w:rsidRPr="008749E7" w:rsidRDefault="00AE17E5" w:rsidP="004B009F">
      <w:pPr>
        <w:pStyle w:val="Contenutextezone"/>
        <w:spacing w:line="240" w:lineRule="auto"/>
        <w:ind w:right="45"/>
      </w:pPr>
      <w:r>
        <w:t xml:space="preserve">Avoir </w:t>
      </w:r>
      <w:r w:rsidR="004B009F">
        <w:t xml:space="preserve">participer à la mise en œuvre d’un projet logiciel ou avoir </w:t>
      </w:r>
      <w:r w:rsidR="008749E7" w:rsidRPr="008749E7">
        <w:t>les connaissances de base du cycle de vie des logiciels (systèmes d'information) spécification et conception</w:t>
      </w:r>
      <w:r w:rsidR="00567CDC">
        <w:t xml:space="preserve"> (Méthode de développement logiciel)</w:t>
      </w:r>
      <w:r w:rsidR="008749E7" w:rsidRPr="008749E7">
        <w:t>.</w:t>
      </w:r>
    </w:p>
    <w:p w14:paraId="4AC1C40D" w14:textId="77777777" w:rsidR="008749E7" w:rsidRDefault="008749E7" w:rsidP="008749E7">
      <w:pPr>
        <w:pStyle w:val="Contenutextezone"/>
        <w:pBdr>
          <w:bottom w:val="single" w:sz="2" w:space="1" w:color="002060"/>
        </w:pBdr>
      </w:pPr>
    </w:p>
    <w:p w14:paraId="40104290" w14:textId="19CD5EBE" w:rsidR="006B4F2F" w:rsidRDefault="0019511D" w:rsidP="0019511D">
      <w:pPr>
        <w:pStyle w:val="Contenutitrezone"/>
      </w:pPr>
      <w:r>
        <w:t>Test et certification</w:t>
      </w:r>
    </w:p>
    <w:p w14:paraId="31C46EE0" w14:textId="3AB94410" w:rsidR="008749E7" w:rsidRDefault="008749E7" w:rsidP="008749E7">
      <w:pPr>
        <w:pStyle w:val="Contenutextezone"/>
        <w:spacing w:line="240" w:lineRule="auto"/>
        <w:ind w:right="45"/>
      </w:pPr>
      <w:r w:rsidRPr="008749E7">
        <w:t xml:space="preserve">L'examen « </w:t>
      </w:r>
      <w:r w:rsidR="00567CDC" w:rsidRPr="00567CDC">
        <w:t xml:space="preserve">IQBBA </w:t>
      </w:r>
      <w:proofErr w:type="spellStart"/>
      <w:r w:rsidR="00567CDC" w:rsidRPr="00567CDC">
        <w:t>Foundation</w:t>
      </w:r>
      <w:proofErr w:type="spellEnd"/>
      <w:r w:rsidR="00567CDC" w:rsidRPr="00567CDC">
        <w:t xml:space="preserve"> Business Analyst</w:t>
      </w:r>
      <w:r w:rsidR="00567CDC">
        <w:t xml:space="preserve"> </w:t>
      </w:r>
      <w:r w:rsidRPr="008749E7">
        <w:t xml:space="preserve">» est inclus dans la formation. </w:t>
      </w:r>
    </w:p>
    <w:p w14:paraId="68B152B5" w14:textId="77777777" w:rsidR="004C432B" w:rsidRDefault="004C432B" w:rsidP="004C432B">
      <w:pPr>
        <w:pStyle w:val="Contenutextezone"/>
        <w:spacing w:before="120" w:line="240" w:lineRule="auto"/>
        <w:ind w:right="45"/>
      </w:pPr>
      <w:r>
        <w:t>L’examen se déroule à la fin de la 5ème journée de formation</w:t>
      </w:r>
    </w:p>
    <w:p w14:paraId="75BED3D9" w14:textId="77777777" w:rsidR="004C432B" w:rsidRDefault="004C432B" w:rsidP="004C432B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Nombre de questions : 60 questions sous forme de QCM ayant des notes de 1 à 3 points </w:t>
      </w:r>
    </w:p>
    <w:p w14:paraId="34D233D4" w14:textId="77777777" w:rsidR="004C432B" w:rsidRDefault="004C432B" w:rsidP="004C432B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Succès à l’examen : obtenir une note &gt;=65%</w:t>
      </w:r>
    </w:p>
    <w:p w14:paraId="7F1B1990" w14:textId="77777777" w:rsidR="004C432B" w:rsidRDefault="004C432B" w:rsidP="004C432B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Durée : 180 minutes (Possible à distance / présentiel sous la surveillance d’un examinateur agréé)</w:t>
      </w:r>
    </w:p>
    <w:p w14:paraId="4DB0A970" w14:textId="77777777" w:rsidR="004C432B" w:rsidRDefault="004C432B" w:rsidP="004C432B">
      <w:pPr>
        <w:pStyle w:val="Contenutextezone"/>
        <w:numPr>
          <w:ilvl w:val="1"/>
          <w:numId w:val="3"/>
        </w:numPr>
        <w:spacing w:line="240" w:lineRule="auto"/>
        <w:ind w:left="709" w:right="45"/>
      </w:pPr>
      <w:r>
        <w:t>Une dérogation de temps de 45 minutes (+25%) est possible selon la nationalité ou si situation de handicap du participant.</w:t>
      </w:r>
    </w:p>
    <w:p w14:paraId="474622C9" w14:textId="02E3BBE5" w:rsidR="004C432B" w:rsidRPr="008749E7" w:rsidRDefault="004C432B" w:rsidP="004C432B">
      <w:pPr>
        <w:pStyle w:val="Contenutextezone"/>
        <w:spacing w:before="120" w:line="240" w:lineRule="auto"/>
        <w:ind w:right="45"/>
      </w:pPr>
      <w:r w:rsidRPr="003C2C99">
        <w:t>Le résultat est connu directement à la fin de l’examen.</w:t>
      </w:r>
    </w:p>
    <w:p w14:paraId="42208F5C" w14:textId="77777777" w:rsidR="0019511D" w:rsidRDefault="0019511D" w:rsidP="004D3292">
      <w:pPr>
        <w:pStyle w:val="Contenutextezone"/>
        <w:pBdr>
          <w:bottom w:val="single" w:sz="2" w:space="1" w:color="002060"/>
        </w:pBdr>
      </w:pPr>
    </w:p>
    <w:p w14:paraId="792CCF01" w14:textId="77777777" w:rsidR="008A29F9" w:rsidRDefault="008A29F9" w:rsidP="008A29F9">
      <w:pPr>
        <w:pStyle w:val="Contenutitrezone"/>
      </w:pPr>
      <w:r>
        <w:t>Contenu</w:t>
      </w:r>
    </w:p>
    <w:p w14:paraId="470E4D47" w14:textId="77777777" w:rsidR="008A29F9" w:rsidRDefault="008A29F9" w:rsidP="008A29F9">
      <w:pPr>
        <w:pStyle w:val="Contenutextezone"/>
        <w:spacing w:before="120" w:after="120" w:line="240" w:lineRule="auto"/>
        <w:ind w:right="45"/>
        <w:jc w:val="center"/>
        <w:rPr>
          <w:b/>
          <w:bCs/>
          <w:u w:val="single"/>
        </w:rPr>
        <w:sectPr w:rsidR="008A29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B776A3" w14:textId="77777777" w:rsidR="008A29F9" w:rsidRPr="007540FE" w:rsidRDefault="008A29F9" w:rsidP="008A29F9">
      <w:pPr>
        <w:pStyle w:val="Contenutextezone"/>
        <w:spacing w:before="120" w:after="120" w:line="240" w:lineRule="auto"/>
        <w:ind w:right="45"/>
        <w:jc w:val="center"/>
        <w:rPr>
          <w:b/>
          <w:bCs/>
          <w:u w:val="single"/>
        </w:rPr>
      </w:pPr>
      <w:r w:rsidRPr="007540FE">
        <w:rPr>
          <w:b/>
          <w:bCs/>
          <w:u w:val="single"/>
        </w:rPr>
        <w:t>JOUR 1</w:t>
      </w:r>
    </w:p>
    <w:p w14:paraId="3B4EF686" w14:textId="3B9CA3BF" w:rsidR="008A29F9" w:rsidRPr="00C561C1" w:rsidRDefault="008A29F9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C561C1">
        <w:rPr>
          <w:b/>
          <w:bCs/>
        </w:rPr>
        <w:t xml:space="preserve">Présentation du projet de la </w:t>
      </w:r>
      <w:r w:rsidR="00C561C1">
        <w:rPr>
          <w:b/>
          <w:bCs/>
        </w:rPr>
        <w:t>formation</w:t>
      </w:r>
    </w:p>
    <w:p w14:paraId="5F544C11" w14:textId="65E1660F" w:rsidR="008A29F9" w:rsidRPr="00C561C1" w:rsidRDefault="008A29F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 xml:space="preserve">Introduction au syllabus </w:t>
      </w:r>
    </w:p>
    <w:p w14:paraId="3FF71CC4" w14:textId="77777777" w:rsidR="008A29F9" w:rsidRPr="00C561C1" w:rsidRDefault="008A29F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 xml:space="preserve">Elément d’explication du déroulement de l’examen </w:t>
      </w:r>
    </w:p>
    <w:p w14:paraId="061756F6" w14:textId="77777777" w:rsidR="008A29F9" w:rsidRPr="00C561C1" w:rsidRDefault="008A29F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>Un projet « Fil Rouge » sera utilisé tout au long de la formation afin de pouvoir illustrer en fin de chaque chapitre les thématiques apprises.</w:t>
      </w:r>
    </w:p>
    <w:p w14:paraId="486FC0FB" w14:textId="78672331" w:rsidR="008A29F9" w:rsidRPr="00C561C1" w:rsidRDefault="00EB0A1C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C561C1">
        <w:rPr>
          <w:b/>
          <w:bCs/>
        </w:rPr>
        <w:t xml:space="preserve">Comprendre </w:t>
      </w:r>
      <w:r w:rsidR="004D0720" w:rsidRPr="00C561C1">
        <w:rPr>
          <w:b/>
          <w:bCs/>
        </w:rPr>
        <w:t xml:space="preserve">l’Analyse </w:t>
      </w:r>
      <w:r w:rsidR="00FD4761" w:rsidRPr="00C561C1">
        <w:rPr>
          <w:b/>
          <w:bCs/>
        </w:rPr>
        <w:t xml:space="preserve">(des processus) </w:t>
      </w:r>
      <w:r w:rsidR="004D0720" w:rsidRPr="00C561C1">
        <w:rPr>
          <w:b/>
          <w:bCs/>
        </w:rPr>
        <w:t>Métier</w:t>
      </w:r>
    </w:p>
    <w:p w14:paraId="24D16CD5" w14:textId="1C1EAC44" w:rsidR="00811717" w:rsidRPr="00C561C1" w:rsidRDefault="00E92710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>Positionner cette discipline au sein de vos p</w:t>
      </w:r>
      <w:r w:rsidR="00811717" w:rsidRPr="00C561C1">
        <w:t xml:space="preserve">rojets </w:t>
      </w:r>
    </w:p>
    <w:p w14:paraId="47F270EE" w14:textId="77777777" w:rsidR="004E713A" w:rsidRPr="00C561C1" w:rsidRDefault="00E92710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>Comprendre les c</w:t>
      </w:r>
      <w:r w:rsidR="00640B83" w:rsidRPr="00C561C1">
        <w:t>oncepts</w:t>
      </w:r>
    </w:p>
    <w:p w14:paraId="31FD6FF3" w14:textId="77777777" w:rsidR="004E713A" w:rsidRPr="00C561C1" w:rsidRDefault="004E713A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 xml:space="preserve">Comprendre les </w:t>
      </w:r>
      <w:r w:rsidR="00640B83" w:rsidRPr="00C561C1">
        <w:t>rôle</w:t>
      </w:r>
      <w:r w:rsidR="00B11C55" w:rsidRPr="00C561C1">
        <w:t>s</w:t>
      </w:r>
    </w:p>
    <w:p w14:paraId="012A9CFB" w14:textId="77777777" w:rsidR="004E713A" w:rsidRPr="00C561C1" w:rsidRDefault="004E713A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 xml:space="preserve">Déterminer ses </w:t>
      </w:r>
      <w:r w:rsidR="00640B83" w:rsidRPr="00C561C1">
        <w:t>objectifs</w:t>
      </w:r>
    </w:p>
    <w:p w14:paraId="2614A62D" w14:textId="2E5CC646" w:rsidR="004D0720" w:rsidRPr="00C561C1" w:rsidRDefault="00272F9B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 xml:space="preserve">Lister les </w:t>
      </w:r>
      <w:r w:rsidR="00640B83" w:rsidRPr="00C561C1">
        <w:t>domaine</w:t>
      </w:r>
      <w:r w:rsidR="00431347" w:rsidRPr="00C561C1">
        <w:t>s</w:t>
      </w:r>
      <w:r w:rsidR="00640B83" w:rsidRPr="00C561C1">
        <w:t xml:space="preserve"> d’expertise d</w:t>
      </w:r>
      <w:r w:rsidR="00431347" w:rsidRPr="00C561C1">
        <w:t xml:space="preserve">e l’analyse métier </w:t>
      </w:r>
    </w:p>
    <w:p w14:paraId="3BBA501A" w14:textId="220AAAF5" w:rsidR="008A29F9" w:rsidRDefault="008A29F9" w:rsidP="00382EC5">
      <w:pPr>
        <w:pStyle w:val="Contenutextezone"/>
        <w:spacing w:line="240" w:lineRule="auto"/>
        <w:ind w:left="363" w:right="45"/>
        <w:rPr>
          <w:i/>
          <w:iCs/>
        </w:rPr>
      </w:pPr>
      <w:r w:rsidRPr="00C561C1">
        <w:rPr>
          <w:i/>
          <w:iCs/>
          <w:u w:val="single"/>
        </w:rPr>
        <w:t>Travaux pratiques</w:t>
      </w:r>
      <w:r w:rsidRPr="00C561C1">
        <w:rPr>
          <w:i/>
          <w:iCs/>
        </w:rPr>
        <w:t> : exercices de révision sous forme de QCM et application au projet Fil Rouge</w:t>
      </w:r>
    </w:p>
    <w:p w14:paraId="715B0188" w14:textId="0F325311" w:rsidR="00B86EBF" w:rsidRPr="00382EC5" w:rsidRDefault="00E23F11" w:rsidP="00E23F11">
      <w:pPr>
        <w:pStyle w:val="Contenutextezone"/>
        <w:numPr>
          <w:ilvl w:val="0"/>
          <w:numId w:val="6"/>
        </w:numPr>
        <w:spacing w:line="240" w:lineRule="auto"/>
        <w:ind w:right="45"/>
        <w:rPr>
          <w:i/>
          <w:iCs/>
        </w:rPr>
      </w:pPr>
      <w:r w:rsidRPr="00382EC5">
        <w:rPr>
          <w:i/>
          <w:iCs/>
        </w:rPr>
        <w:t xml:space="preserve">Définir une cartographie de l’organisation d’une </w:t>
      </w:r>
      <w:r w:rsidRPr="00382EC5">
        <w:rPr>
          <w:i/>
          <w:iCs/>
        </w:rPr>
        <w:t>analyse métier</w:t>
      </w:r>
    </w:p>
    <w:p w14:paraId="3A325795" w14:textId="07A11A98" w:rsidR="008A29F9" w:rsidRPr="00C561C1" w:rsidRDefault="00B569E5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C561C1">
        <w:rPr>
          <w:b/>
          <w:bCs/>
        </w:rPr>
        <w:t>Définir et Mettre une stratégie d’Analyse Métier</w:t>
      </w:r>
    </w:p>
    <w:p w14:paraId="3856D40F" w14:textId="7C396E23" w:rsidR="008A29F9" w:rsidRPr="00C561C1" w:rsidRDefault="00B569E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>Réaliser une analyse de vos processus interne</w:t>
      </w:r>
    </w:p>
    <w:p w14:paraId="61FAF0C8" w14:textId="380A10AC" w:rsidR="003B3D05" w:rsidRPr="00C561C1" w:rsidRDefault="00A97D94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 xml:space="preserve">Evaluer la </w:t>
      </w:r>
      <w:r w:rsidR="003B3D05" w:rsidRPr="00C561C1">
        <w:t>Vision, la Mission et les Objectifs Métier</w:t>
      </w:r>
      <w:r w:rsidRPr="00C561C1">
        <w:t xml:space="preserve"> de votre organisation</w:t>
      </w:r>
    </w:p>
    <w:p w14:paraId="0FCEE664" w14:textId="199B7D98" w:rsidR="00A97D94" w:rsidRDefault="00FF4E1D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>Identifier et différencier les processus métier, les beso</w:t>
      </w:r>
      <w:r w:rsidR="00C561C1" w:rsidRPr="00C561C1">
        <w:t>ins métiers</w:t>
      </w:r>
    </w:p>
    <w:p w14:paraId="64AD3386" w14:textId="2981E830" w:rsidR="00C561C1" w:rsidRDefault="00C561C1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 w:rsidRPr="00C561C1">
        <w:t>Réaliser une étude des écarts</w:t>
      </w:r>
    </w:p>
    <w:p w14:paraId="08C0E172" w14:textId="7C7BEE9B" w:rsidR="006A72C4" w:rsidRDefault="006A72C4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Réaliser une analyse des processus externe</w:t>
      </w:r>
    </w:p>
    <w:p w14:paraId="275952C9" w14:textId="34F803AE" w:rsidR="006A72C4" w:rsidRDefault="00451F8D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Favoriser l’innovation par l’outillage </w:t>
      </w:r>
    </w:p>
    <w:p w14:paraId="099384F6" w14:textId="2C53FF9D" w:rsidR="00120509" w:rsidRDefault="0012050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Mieux comprendre les besoins des utilisateurs</w:t>
      </w:r>
    </w:p>
    <w:p w14:paraId="6BDF853C" w14:textId="2D820347" w:rsidR="00120509" w:rsidRDefault="0012050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Réaliser une étude marché</w:t>
      </w:r>
    </w:p>
    <w:p w14:paraId="47ABF610" w14:textId="79BA8A05" w:rsidR="005F4C44" w:rsidRDefault="005F4C44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Gérer la communication avec les parties prenantes de l’analyse métier </w:t>
      </w:r>
    </w:p>
    <w:p w14:paraId="18834C32" w14:textId="77777777" w:rsidR="00B41276" w:rsidRDefault="00A76CD1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Les règles à appliquer lors d’une restitution</w:t>
      </w:r>
    </w:p>
    <w:p w14:paraId="5E98486C" w14:textId="77777777" w:rsidR="00B41276" w:rsidRDefault="00B41276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Valoriser le retour sur investissement ROI de cette démarche</w:t>
      </w:r>
    </w:p>
    <w:p w14:paraId="07247779" w14:textId="56E318F3" w:rsidR="00B86EBF" w:rsidRPr="00382EC5" w:rsidRDefault="008A29F9" w:rsidP="00382EC5">
      <w:pPr>
        <w:pStyle w:val="Contenutextezone"/>
        <w:spacing w:line="240" w:lineRule="auto"/>
        <w:ind w:left="363" w:right="45"/>
        <w:rPr>
          <w:i/>
          <w:iCs/>
        </w:rPr>
      </w:pPr>
      <w:r w:rsidRPr="00382EC5">
        <w:rPr>
          <w:i/>
          <w:iCs/>
          <w:u w:val="single"/>
        </w:rPr>
        <w:lastRenderedPageBreak/>
        <w:t>Travaux pratiques</w:t>
      </w:r>
      <w:r w:rsidRPr="00382EC5">
        <w:rPr>
          <w:i/>
          <w:iCs/>
        </w:rPr>
        <w:t> : exercices de révision sous forme de QCM et application au projet Fil Rouge</w:t>
      </w:r>
      <w:r w:rsidR="00B86EBF" w:rsidRPr="00382EC5">
        <w:rPr>
          <w:i/>
          <w:iCs/>
        </w:rPr>
        <w:t xml:space="preserve"> </w:t>
      </w:r>
    </w:p>
    <w:p w14:paraId="5A838560" w14:textId="65EE6AEE" w:rsidR="00092F7B" w:rsidRPr="00D46D19" w:rsidRDefault="00B86EBF" w:rsidP="00092F7B">
      <w:pPr>
        <w:pStyle w:val="Contenutextezone"/>
        <w:numPr>
          <w:ilvl w:val="0"/>
          <w:numId w:val="5"/>
        </w:numPr>
        <w:spacing w:line="240" w:lineRule="auto"/>
        <w:ind w:right="45"/>
        <w:rPr>
          <w:i/>
          <w:iCs/>
        </w:rPr>
      </w:pPr>
      <w:r>
        <w:rPr>
          <w:i/>
          <w:iCs/>
        </w:rPr>
        <w:t>Lancer un projet d’analyse métier</w:t>
      </w:r>
      <w:r w:rsidR="008B6E3A">
        <w:rPr>
          <w:i/>
          <w:iCs/>
        </w:rPr>
        <w:t xml:space="preserve"> et réaliser une première modélisation basée sur BPMN</w:t>
      </w:r>
    </w:p>
    <w:p w14:paraId="78FC9AB0" w14:textId="33417FA9" w:rsidR="008A29F9" w:rsidRPr="007540FE" w:rsidRDefault="00494F95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494F95">
        <w:rPr>
          <w:b/>
          <w:bCs/>
        </w:rPr>
        <w:t xml:space="preserve">Gestion du processus d'analyse métier </w:t>
      </w:r>
    </w:p>
    <w:p w14:paraId="0DC75CDC" w14:textId="37E9AD78" w:rsidR="008A29F9" w:rsidRDefault="00494F9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Introduction </w:t>
      </w:r>
      <w:r w:rsidR="00541D31">
        <w:t>et d</w:t>
      </w:r>
      <w:r>
        <w:t>escription du processus</w:t>
      </w:r>
      <w:r w:rsidR="00541D31">
        <w:t xml:space="preserve"> d’analyse métier</w:t>
      </w:r>
    </w:p>
    <w:p w14:paraId="34420E68" w14:textId="030F9D2A" w:rsidR="008A29F9" w:rsidRDefault="00BB1731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Savoir </w:t>
      </w:r>
      <w:r w:rsidR="007E5FB7">
        <w:t xml:space="preserve">différencier </w:t>
      </w:r>
      <w:r w:rsidR="00541D31">
        <w:t xml:space="preserve">les </w:t>
      </w:r>
      <w:r w:rsidR="00956013">
        <w:t xml:space="preserve">approches </w:t>
      </w:r>
      <w:r>
        <w:t xml:space="preserve">à </w:t>
      </w:r>
      <w:r w:rsidR="007918EA">
        <w:t xml:space="preserve">envisager </w:t>
      </w:r>
      <w:r>
        <w:t xml:space="preserve">dans un contexte </w:t>
      </w:r>
      <w:r w:rsidR="007918EA">
        <w:t>Agile et « Non-Agile »</w:t>
      </w:r>
    </w:p>
    <w:p w14:paraId="760E7EB0" w14:textId="7A79EA45" w:rsidR="008A29F9" w:rsidRDefault="00382EC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  <w:rPr>
          <w:i/>
          <w:iCs/>
        </w:rPr>
      </w:pPr>
      <w:r>
        <w:rPr>
          <w:i/>
          <w:iCs/>
        </w:rPr>
        <w:t>Maitriser sa communication</w:t>
      </w:r>
      <w:r w:rsidR="001C4DB3">
        <w:rPr>
          <w:i/>
          <w:iCs/>
        </w:rPr>
        <w:t> : organiser, rédiger et suivre un plan de communication</w:t>
      </w:r>
      <w:r>
        <w:rPr>
          <w:i/>
          <w:iCs/>
        </w:rPr>
        <w:t xml:space="preserve"> </w:t>
      </w:r>
    </w:p>
    <w:p w14:paraId="287E1A44" w14:textId="32C483CC" w:rsidR="001C4DB3" w:rsidRDefault="00C405BB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  <w:rPr>
          <w:i/>
          <w:iCs/>
        </w:rPr>
      </w:pPr>
      <w:r>
        <w:rPr>
          <w:i/>
          <w:iCs/>
        </w:rPr>
        <w:t xml:space="preserve">Intégrer </w:t>
      </w:r>
      <w:r w:rsidR="001C4DB3">
        <w:rPr>
          <w:i/>
          <w:iCs/>
        </w:rPr>
        <w:t xml:space="preserve">la vision produit </w:t>
      </w:r>
    </w:p>
    <w:p w14:paraId="602D5A67" w14:textId="66410017" w:rsidR="009F4498" w:rsidRDefault="005F01E3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  <w:rPr>
          <w:i/>
          <w:iCs/>
        </w:rPr>
      </w:pPr>
      <w:r>
        <w:rPr>
          <w:i/>
          <w:iCs/>
        </w:rPr>
        <w:t xml:space="preserve">Connaitre les techniques et outils à utiliser pour réaliser une analyse métier </w:t>
      </w:r>
    </w:p>
    <w:p w14:paraId="05F843DD" w14:textId="77777777" w:rsidR="00382EC5" w:rsidRDefault="00382EC5" w:rsidP="00382EC5">
      <w:pPr>
        <w:pStyle w:val="Contenutextezone"/>
        <w:spacing w:line="240" w:lineRule="auto"/>
        <w:ind w:left="363" w:right="45"/>
        <w:rPr>
          <w:i/>
          <w:iCs/>
        </w:rPr>
      </w:pPr>
      <w:r w:rsidRPr="00C561C1">
        <w:rPr>
          <w:i/>
          <w:iCs/>
          <w:u w:val="single"/>
        </w:rPr>
        <w:t>Travaux pratiques</w:t>
      </w:r>
      <w:r w:rsidRPr="00C561C1">
        <w:rPr>
          <w:i/>
          <w:iCs/>
        </w:rPr>
        <w:t> : exercices de révision sous forme de QCM et application au projet Fil Rouge</w:t>
      </w:r>
    </w:p>
    <w:p w14:paraId="62518B7D" w14:textId="0D6D012F" w:rsidR="008E5A76" w:rsidRDefault="008E5A76" w:rsidP="008E5A76">
      <w:pPr>
        <w:pStyle w:val="Contenutextezone"/>
        <w:numPr>
          <w:ilvl w:val="0"/>
          <w:numId w:val="5"/>
        </w:numPr>
        <w:spacing w:line="240" w:lineRule="auto"/>
        <w:ind w:right="45"/>
        <w:rPr>
          <w:i/>
          <w:iCs/>
        </w:rPr>
      </w:pPr>
      <w:r>
        <w:rPr>
          <w:i/>
          <w:iCs/>
        </w:rPr>
        <w:t xml:space="preserve">Définir </w:t>
      </w:r>
      <w:r w:rsidR="007B6078">
        <w:rPr>
          <w:i/>
          <w:iCs/>
        </w:rPr>
        <w:t>son approche</w:t>
      </w:r>
    </w:p>
    <w:p w14:paraId="6951E62D" w14:textId="1C67DDEA" w:rsidR="00382EC5" w:rsidRPr="007B6078" w:rsidRDefault="00382EC5" w:rsidP="007B6078">
      <w:pPr>
        <w:pStyle w:val="Contenutextezone"/>
        <w:numPr>
          <w:ilvl w:val="0"/>
          <w:numId w:val="5"/>
        </w:numPr>
        <w:spacing w:line="240" w:lineRule="auto"/>
        <w:ind w:right="45"/>
        <w:rPr>
          <w:i/>
          <w:iCs/>
        </w:rPr>
      </w:pPr>
      <w:r w:rsidRPr="00382EC5">
        <w:rPr>
          <w:i/>
          <w:iCs/>
        </w:rPr>
        <w:t xml:space="preserve">Définir </w:t>
      </w:r>
      <w:r>
        <w:rPr>
          <w:i/>
          <w:iCs/>
        </w:rPr>
        <w:t>un plan de communication</w:t>
      </w:r>
    </w:p>
    <w:p w14:paraId="004A042C" w14:textId="77777777" w:rsidR="00656A9D" w:rsidRPr="009D27D1" w:rsidRDefault="00656A9D" w:rsidP="00656A9D">
      <w:pPr>
        <w:pStyle w:val="Contenutextezone"/>
        <w:spacing w:before="120" w:after="120" w:line="240" w:lineRule="auto"/>
        <w:ind w:right="45"/>
        <w:jc w:val="center"/>
        <w:rPr>
          <w:b/>
          <w:bCs/>
          <w:u w:val="single"/>
        </w:rPr>
      </w:pPr>
      <w:r w:rsidRPr="009D27D1">
        <w:rPr>
          <w:b/>
          <w:bCs/>
          <w:u w:val="single"/>
        </w:rPr>
        <w:t xml:space="preserve">JOUR </w:t>
      </w:r>
      <w:r>
        <w:rPr>
          <w:b/>
          <w:bCs/>
          <w:u w:val="single"/>
        </w:rPr>
        <w:t>2</w:t>
      </w:r>
    </w:p>
    <w:p w14:paraId="251F29AA" w14:textId="45EB8998" w:rsidR="008A29F9" w:rsidRPr="007540FE" w:rsidRDefault="00BE2999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BE2999">
        <w:rPr>
          <w:b/>
          <w:bCs/>
        </w:rPr>
        <w:t>Ingénierie des exigences en analyse métier</w:t>
      </w:r>
    </w:p>
    <w:p w14:paraId="378E35C0" w14:textId="7703A592" w:rsidR="008A29F9" w:rsidRDefault="00E97B3B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Maitriser la notion d’exigence</w:t>
      </w:r>
    </w:p>
    <w:p w14:paraId="4067A76E" w14:textId="57FBCD2A" w:rsidR="00B478B5" w:rsidRDefault="00B478B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Comprendre les techniques d’élucidation</w:t>
      </w:r>
    </w:p>
    <w:p w14:paraId="3A97E854" w14:textId="054605A8" w:rsidR="00B478B5" w:rsidRDefault="00B478B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Savoir concevoir une exigence</w:t>
      </w:r>
    </w:p>
    <w:p w14:paraId="2740C03D" w14:textId="18C00045" w:rsidR="00B478B5" w:rsidRDefault="00B478B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Déterminer une </w:t>
      </w:r>
      <w:r w:rsidR="003964CA">
        <w:t>matrice de priorisation des exigences</w:t>
      </w:r>
    </w:p>
    <w:p w14:paraId="5EB3EDF7" w14:textId="636F75F7" w:rsidR="003964CA" w:rsidRDefault="003964CA" w:rsidP="001C7CB1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Mettre en œuvre une modélisation des exigences</w:t>
      </w:r>
      <w:r w:rsidR="001C7CB1">
        <w:t xml:space="preserve"> avec </w:t>
      </w:r>
      <w:r w:rsidR="00484314">
        <w:t>UML, BPMN</w:t>
      </w:r>
    </w:p>
    <w:p w14:paraId="65B0DC2B" w14:textId="69672F56" w:rsidR="008A29F9" w:rsidRDefault="002D6BA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Mettre en place une organisation de gestion des conflits</w:t>
      </w:r>
    </w:p>
    <w:p w14:paraId="2362D8E7" w14:textId="2B7E2F1D" w:rsidR="001C7CB1" w:rsidRDefault="002D6BA5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Mettre en place une organisation de gestion des exigences </w:t>
      </w:r>
    </w:p>
    <w:p w14:paraId="4C6CC939" w14:textId="10F1E1FE" w:rsidR="00C77F4A" w:rsidRDefault="00C77F4A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Comprendre et définir l’architecture des informations </w:t>
      </w:r>
    </w:p>
    <w:p w14:paraId="3926EBE2" w14:textId="010B93AC" w:rsidR="001F2E9B" w:rsidRDefault="001F2E9B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Etablir un workflow de validation des exigences</w:t>
      </w:r>
    </w:p>
    <w:p w14:paraId="4CFB3A28" w14:textId="7F74BBE9" w:rsidR="008A29F9" w:rsidRDefault="00BE1ADA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Comprendre la proximité entre l’</w:t>
      </w:r>
      <w:r w:rsidR="001F2E9B">
        <w:t>assurance qualité</w:t>
      </w:r>
      <w:r>
        <w:t xml:space="preserve"> et l’analyse métier</w:t>
      </w:r>
    </w:p>
    <w:p w14:paraId="600C944C" w14:textId="405BAE4B" w:rsidR="00BE1ADA" w:rsidRDefault="00BE1ADA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Identifier et comprendre les outils et techniques</w:t>
      </w:r>
    </w:p>
    <w:p w14:paraId="351B5952" w14:textId="0EE66398" w:rsidR="008A29F9" w:rsidRDefault="008A29F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  <w:rPr>
          <w:i/>
          <w:iCs/>
        </w:rPr>
      </w:pPr>
      <w:r w:rsidRPr="00D46D19">
        <w:rPr>
          <w:i/>
          <w:iCs/>
          <w:u w:val="single"/>
        </w:rPr>
        <w:t>Travaux pratiques</w:t>
      </w:r>
      <w:r w:rsidRPr="00D46D19">
        <w:rPr>
          <w:i/>
          <w:iCs/>
        </w:rPr>
        <w:t xml:space="preserve"> : </w:t>
      </w:r>
      <w:r w:rsidR="00BE1ADA">
        <w:rPr>
          <w:i/>
          <w:iCs/>
        </w:rPr>
        <w:t xml:space="preserve">Ce chapitre </w:t>
      </w:r>
      <w:r w:rsidR="00F3750B">
        <w:rPr>
          <w:i/>
          <w:iCs/>
        </w:rPr>
        <w:t xml:space="preserve">sera réalisé sur </w:t>
      </w:r>
      <w:r w:rsidR="009F3ED6">
        <w:rPr>
          <w:i/>
          <w:iCs/>
        </w:rPr>
        <w:t>une</w:t>
      </w:r>
      <w:r w:rsidR="00F3750B">
        <w:rPr>
          <w:i/>
          <w:iCs/>
        </w:rPr>
        <w:t xml:space="preserve"> journée entière alternant concept et mise en pratique dans le cadre du </w:t>
      </w:r>
      <w:r>
        <w:rPr>
          <w:i/>
          <w:iCs/>
        </w:rPr>
        <w:t>projet Fil Rouge</w:t>
      </w:r>
      <w:r w:rsidR="00F3750B">
        <w:rPr>
          <w:i/>
          <w:iCs/>
        </w:rPr>
        <w:t xml:space="preserve">, </w:t>
      </w:r>
      <w:r w:rsidR="009F3ED6">
        <w:rPr>
          <w:i/>
          <w:iCs/>
        </w:rPr>
        <w:t xml:space="preserve">intégrant </w:t>
      </w:r>
      <w:r w:rsidR="00F3750B">
        <w:rPr>
          <w:i/>
          <w:iCs/>
        </w:rPr>
        <w:t xml:space="preserve">des révisions </w:t>
      </w:r>
      <w:r w:rsidR="009F3ED6">
        <w:rPr>
          <w:i/>
          <w:iCs/>
        </w:rPr>
        <w:t xml:space="preserve">à l’examen </w:t>
      </w:r>
      <w:r w:rsidR="00F3750B">
        <w:rPr>
          <w:i/>
          <w:iCs/>
        </w:rPr>
        <w:t>de type QCM.</w:t>
      </w:r>
    </w:p>
    <w:p w14:paraId="753E5DE0" w14:textId="77777777" w:rsidR="008A29F9" w:rsidRDefault="008A29F9" w:rsidP="008A29F9">
      <w:pPr>
        <w:pStyle w:val="Contenutextezone"/>
        <w:spacing w:line="240" w:lineRule="auto"/>
        <w:ind w:right="45"/>
        <w:rPr>
          <w:i/>
          <w:iCs/>
        </w:rPr>
      </w:pPr>
    </w:p>
    <w:p w14:paraId="4DED664D" w14:textId="5FAFEE18" w:rsidR="008A29F9" w:rsidRPr="009D27D1" w:rsidRDefault="008A29F9" w:rsidP="008A29F9">
      <w:pPr>
        <w:pStyle w:val="Contenutextezone"/>
        <w:spacing w:before="120" w:after="120" w:line="240" w:lineRule="auto"/>
        <w:ind w:right="45"/>
        <w:jc w:val="center"/>
        <w:rPr>
          <w:b/>
          <w:bCs/>
          <w:u w:val="single"/>
        </w:rPr>
      </w:pPr>
      <w:r w:rsidRPr="009D27D1">
        <w:rPr>
          <w:b/>
          <w:bCs/>
          <w:u w:val="single"/>
        </w:rPr>
        <w:t xml:space="preserve">JOUR </w:t>
      </w:r>
      <w:r w:rsidR="009F3ED6">
        <w:rPr>
          <w:b/>
          <w:bCs/>
          <w:u w:val="single"/>
        </w:rPr>
        <w:t>3</w:t>
      </w:r>
    </w:p>
    <w:p w14:paraId="277A842C" w14:textId="7E4602CF" w:rsidR="008A29F9" w:rsidRPr="007540FE" w:rsidRDefault="00A61BE2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A61BE2">
        <w:rPr>
          <w:b/>
          <w:bCs/>
        </w:rPr>
        <w:t>Évaluation et optimisation de la solution</w:t>
      </w:r>
    </w:p>
    <w:p w14:paraId="222D4A8D" w14:textId="7EE3DD7E" w:rsidR="008A29F9" w:rsidRDefault="009C0AE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Comprendre le bénéfice et les moyens à mettre en œuvre une évaluation d’une solution </w:t>
      </w:r>
    </w:p>
    <w:p w14:paraId="399BC6CD" w14:textId="470AA418" w:rsidR="009C0AE9" w:rsidRPr="009C0AE9" w:rsidRDefault="006E1202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  <w:rPr>
          <w:i/>
          <w:iCs/>
        </w:rPr>
      </w:pPr>
      <w:r>
        <w:rPr>
          <w:i/>
          <w:iCs/>
        </w:rPr>
        <w:t xml:space="preserve">Déterminer </w:t>
      </w:r>
      <w:proofErr w:type="spellStart"/>
      <w:r>
        <w:rPr>
          <w:i/>
          <w:iCs/>
        </w:rPr>
        <w:t>uen</w:t>
      </w:r>
      <w:proofErr w:type="spellEnd"/>
      <w:r>
        <w:rPr>
          <w:i/>
          <w:iCs/>
        </w:rPr>
        <w:t xml:space="preserve"> stratégie d’optimisation d’une solution</w:t>
      </w:r>
    </w:p>
    <w:p w14:paraId="244BC4B5" w14:textId="39D19DB4" w:rsidR="008A29F9" w:rsidRPr="00D46D19" w:rsidRDefault="008A29F9" w:rsidP="008A29F9">
      <w:pPr>
        <w:pStyle w:val="Contenutextezone"/>
        <w:numPr>
          <w:ilvl w:val="0"/>
          <w:numId w:val="3"/>
        </w:numPr>
        <w:spacing w:line="240" w:lineRule="auto"/>
        <w:ind w:left="363" w:right="45" w:hanging="357"/>
        <w:rPr>
          <w:i/>
          <w:iCs/>
        </w:rPr>
      </w:pPr>
      <w:r w:rsidRPr="00D46D19">
        <w:rPr>
          <w:i/>
          <w:iCs/>
          <w:u w:val="single"/>
        </w:rPr>
        <w:t>Travaux pratiques</w:t>
      </w:r>
      <w:r w:rsidRPr="00D46D19">
        <w:rPr>
          <w:i/>
          <w:iCs/>
        </w:rPr>
        <w:t> : exercices de révision</w:t>
      </w:r>
      <w:r>
        <w:rPr>
          <w:i/>
          <w:iCs/>
        </w:rPr>
        <w:t xml:space="preserve"> sous forme de QCM et application au projet Fil Rouge</w:t>
      </w:r>
    </w:p>
    <w:p w14:paraId="420A73EC" w14:textId="77777777" w:rsidR="008A29F9" w:rsidRDefault="008A29F9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6E1202">
        <w:rPr>
          <w:b/>
          <w:bCs/>
        </w:rPr>
        <w:t>Corrigé du projet Fil Rouge</w:t>
      </w:r>
    </w:p>
    <w:p w14:paraId="260E06F8" w14:textId="77777777" w:rsidR="008A29F9" w:rsidRDefault="008A29F9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 w:rsidRPr="007540FE">
        <w:rPr>
          <w:b/>
          <w:bCs/>
        </w:rPr>
        <w:t xml:space="preserve">Révisions </w:t>
      </w:r>
      <w:r>
        <w:rPr>
          <w:b/>
          <w:bCs/>
        </w:rPr>
        <w:t>sous la forme d’un examen blanc</w:t>
      </w:r>
    </w:p>
    <w:p w14:paraId="032E1098" w14:textId="77777777" w:rsidR="008A29F9" w:rsidRPr="007540FE" w:rsidRDefault="008A29F9" w:rsidP="008A29F9">
      <w:pPr>
        <w:pStyle w:val="Contenutextezone"/>
        <w:spacing w:before="120" w:after="120" w:line="240" w:lineRule="auto"/>
        <w:ind w:right="45"/>
        <w:rPr>
          <w:b/>
          <w:bCs/>
        </w:rPr>
      </w:pPr>
      <w:r>
        <w:rPr>
          <w:b/>
          <w:bCs/>
        </w:rPr>
        <w:t>P</w:t>
      </w:r>
      <w:r w:rsidRPr="007540FE">
        <w:rPr>
          <w:b/>
          <w:bCs/>
        </w:rPr>
        <w:t>assage de l’examen</w:t>
      </w:r>
    </w:p>
    <w:p w14:paraId="193F490C" w14:textId="77777777" w:rsidR="008A29F9" w:rsidRDefault="008A29F9" w:rsidP="007B6078">
      <w:pPr>
        <w:pStyle w:val="Contenutextezone"/>
        <w:pBdr>
          <w:bottom w:val="single" w:sz="2" w:space="1" w:color="002060"/>
        </w:pBdr>
        <w:ind w:left="0"/>
        <w:sectPr w:rsidR="008A29F9" w:rsidSect="00D46D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E2232F" w14:textId="77777777" w:rsidR="008A29F9" w:rsidRDefault="008A29F9" w:rsidP="007B6078">
      <w:pPr>
        <w:pStyle w:val="Contenutextezone"/>
        <w:pBdr>
          <w:bottom w:val="single" w:sz="2" w:space="1" w:color="002060"/>
        </w:pBdr>
        <w:ind w:left="0"/>
      </w:pPr>
    </w:p>
    <w:p w14:paraId="01CF0E87" w14:textId="3200D6A1" w:rsidR="0019511D" w:rsidRDefault="0019511D" w:rsidP="0019511D">
      <w:pPr>
        <w:pStyle w:val="Contenutitrezone"/>
      </w:pPr>
      <w:r>
        <w:t>Méthodes pédagogiques</w:t>
      </w:r>
    </w:p>
    <w:p w14:paraId="6BF5DC49" w14:textId="77777777" w:rsidR="008749E7" w:rsidRPr="0064141B" w:rsidRDefault="008749E7" w:rsidP="008749E7">
      <w:pPr>
        <w:rPr>
          <w:rFonts w:ascii="Arial" w:hAnsi="Arial" w:cs="Arial"/>
          <w:sz w:val="16"/>
          <w:szCs w:val="16"/>
        </w:rPr>
      </w:pPr>
      <w:r w:rsidRPr="0064141B">
        <w:rPr>
          <w:rFonts w:ascii="Arial" w:hAnsi="Arial" w:cs="Arial"/>
          <w:sz w:val="16"/>
          <w:szCs w:val="16"/>
        </w:rPr>
        <w:t>Un support de cours est remis aux participants</w:t>
      </w:r>
      <w:r>
        <w:rPr>
          <w:rFonts w:ascii="Arial" w:hAnsi="Arial" w:cs="Arial"/>
          <w:sz w:val="16"/>
          <w:szCs w:val="16"/>
        </w:rPr>
        <w:t>.</w:t>
      </w:r>
    </w:p>
    <w:p w14:paraId="5210BFE0" w14:textId="77777777" w:rsidR="008749E7" w:rsidRDefault="008749E7" w:rsidP="008749E7">
      <w:pPr>
        <w:pStyle w:val="Contenutextezone"/>
      </w:pPr>
      <w:r>
        <w:t>Cette formation est basée sur l’alternance de théorie et de pratique. Les travaux pratiques sous forme d’exercices ou de questions sont réalisés à la fin de chaque chapitre. En complément un examen blanc avec un questionnaire est inclus dans la formation afin de se préparer à l’examen final.</w:t>
      </w:r>
    </w:p>
    <w:p w14:paraId="531D3FBD" w14:textId="77777777" w:rsidR="003B5A38" w:rsidRPr="00D46D19" w:rsidRDefault="003B5A38" w:rsidP="003B5A38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D46D19">
        <w:rPr>
          <w:rFonts w:ascii="Arial" w:hAnsi="Arial" w:cs="Arial"/>
          <w:sz w:val="16"/>
          <w:szCs w:val="16"/>
        </w:rPr>
        <w:t>Pour accentuer l’approfondissement des compétences prévoir un temps d’investissement personnel :</w:t>
      </w:r>
    </w:p>
    <w:p w14:paraId="24230A85" w14:textId="77777777" w:rsidR="003B5A38" w:rsidRDefault="003B5A38" w:rsidP="003B5A38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 xml:space="preserve">En amont de la formation, prévoir 4 à 5 heures pour lire la documentation officielle et découvrir un </w:t>
      </w:r>
      <w:proofErr w:type="spellStart"/>
      <w:r>
        <w:t>QCMs</w:t>
      </w:r>
      <w:proofErr w:type="spellEnd"/>
      <w:r>
        <w:t xml:space="preserve"> d’entrainement qui sera utilisé en séance. </w:t>
      </w:r>
    </w:p>
    <w:p w14:paraId="6F574BCF" w14:textId="77777777" w:rsidR="003B5A38" w:rsidRDefault="003B5A38" w:rsidP="003B5A38">
      <w:pPr>
        <w:pStyle w:val="Contenutextezone"/>
        <w:numPr>
          <w:ilvl w:val="0"/>
          <w:numId w:val="3"/>
        </w:numPr>
        <w:spacing w:line="240" w:lineRule="auto"/>
        <w:ind w:left="363" w:right="45" w:hanging="357"/>
      </w:pPr>
      <w:r>
        <w:t>Durant la formation, en travail de préparation prévoir 2 à 3 heures pour réviser les notions vues dans la journée et réaliser des exercices et QCM d’entrainement</w:t>
      </w:r>
    </w:p>
    <w:p w14:paraId="319F9B80" w14:textId="77777777" w:rsidR="003B5A38" w:rsidRDefault="003B5A38" w:rsidP="008749E7">
      <w:pPr>
        <w:pStyle w:val="Contenutextezone"/>
      </w:pPr>
    </w:p>
    <w:p w14:paraId="6597DAD6" w14:textId="77777777" w:rsidR="0019511D" w:rsidRDefault="0019511D" w:rsidP="004D3292">
      <w:pPr>
        <w:pStyle w:val="Contenutextezone"/>
        <w:pBdr>
          <w:bottom w:val="single" w:sz="2" w:space="1" w:color="002060"/>
        </w:pBdr>
      </w:pPr>
    </w:p>
    <w:p w14:paraId="6536BB7A" w14:textId="33DFA57A" w:rsidR="0019511D" w:rsidRDefault="0019511D" w:rsidP="0019511D">
      <w:pPr>
        <w:pStyle w:val="Contenutitrezone"/>
      </w:pPr>
      <w:r>
        <w:t>Autres moyens pédagogiques et de suivi</w:t>
      </w:r>
    </w:p>
    <w:p w14:paraId="2026D595" w14:textId="3069DE58" w:rsidR="0019511D" w:rsidRPr="008749E7" w:rsidRDefault="0019511D" w:rsidP="008749E7">
      <w:pPr>
        <w:pStyle w:val="Contenutextezone"/>
        <w:numPr>
          <w:ilvl w:val="0"/>
          <w:numId w:val="3"/>
        </w:numPr>
        <w:spacing w:before="120" w:after="120" w:line="240" w:lineRule="auto"/>
        <w:ind w:left="364" w:right="45"/>
      </w:pPr>
      <w:r w:rsidRPr="008749E7">
        <w:t>Compétence du formateur : Les experts qui animent la formation sont des spécialistes des matières abordées et ont au minimum cinq ans d'expérience d'animation. Nos équipes ont validé à la fois leurs connaissances techniques (certifications le cas échéant) ainsi que leur compétence pédagogique.</w:t>
      </w:r>
    </w:p>
    <w:p w14:paraId="0CDC7785" w14:textId="5D7D477E" w:rsidR="0019511D" w:rsidRPr="008749E7" w:rsidRDefault="0019511D" w:rsidP="008749E7">
      <w:pPr>
        <w:pStyle w:val="Contenutextezone"/>
        <w:numPr>
          <w:ilvl w:val="0"/>
          <w:numId w:val="3"/>
        </w:numPr>
        <w:spacing w:before="120" w:after="120" w:line="240" w:lineRule="auto"/>
        <w:ind w:left="364" w:right="45"/>
      </w:pPr>
      <w:r w:rsidRPr="008749E7">
        <w:t>Suivi d'exécution : Une feuille d'émargement par demi-journée de présence est signée par tous les participants et le formateur.</w:t>
      </w:r>
    </w:p>
    <w:p w14:paraId="737E6DD0" w14:textId="324BB885" w:rsidR="0019511D" w:rsidRPr="008749E7" w:rsidRDefault="0019511D" w:rsidP="008749E7">
      <w:pPr>
        <w:pStyle w:val="Contenutextezone"/>
        <w:numPr>
          <w:ilvl w:val="0"/>
          <w:numId w:val="3"/>
        </w:numPr>
        <w:spacing w:before="120" w:after="120" w:line="240" w:lineRule="auto"/>
        <w:ind w:left="364" w:right="45"/>
      </w:pPr>
      <w:r w:rsidRPr="008749E7">
        <w:t>Chaque participant, à l'issue de la formation, répond à un questionnaire de satisfaction qui est ensuite étudié par nos équipes pédagogiques en vue de maintenir et d'améliorer la qualité de nos prestations.</w:t>
      </w:r>
    </w:p>
    <w:p w14:paraId="5447B6FA" w14:textId="75E012FD" w:rsidR="0019511D" w:rsidRPr="008749E7" w:rsidRDefault="0019511D" w:rsidP="008749E7">
      <w:pPr>
        <w:pStyle w:val="Contenutextezone"/>
        <w:spacing w:before="120" w:after="120" w:line="240" w:lineRule="auto"/>
        <w:ind w:right="45"/>
      </w:pPr>
      <w:r w:rsidRPr="008749E7">
        <w:t>Délais d’inscription :</w:t>
      </w:r>
    </w:p>
    <w:p w14:paraId="5FD02ED6" w14:textId="38A51418" w:rsidR="0019511D" w:rsidRPr="008749E7" w:rsidRDefault="0019511D" w:rsidP="008749E7">
      <w:pPr>
        <w:pStyle w:val="Contenutextezone"/>
        <w:numPr>
          <w:ilvl w:val="0"/>
          <w:numId w:val="4"/>
        </w:numPr>
        <w:spacing w:before="120" w:after="120" w:line="240" w:lineRule="auto"/>
        <w:ind w:left="378" w:right="45"/>
      </w:pPr>
      <w:r w:rsidRPr="008749E7">
        <w:t xml:space="preserve">Vous pouvez vous inscrire sur l’une de nos sessions planifiées en inter-entreprises jusqu’à 5 jours ouvrés avant le début de la formation sous réserve de disponibilité de places et de </w:t>
      </w:r>
      <w:proofErr w:type="spellStart"/>
      <w:r w:rsidRPr="008749E7">
        <w:t>labs</w:t>
      </w:r>
      <w:proofErr w:type="spellEnd"/>
      <w:r w:rsidRPr="008749E7">
        <w:t xml:space="preserve"> le cas échéant.</w:t>
      </w:r>
    </w:p>
    <w:p w14:paraId="6530923F" w14:textId="3000BE80" w:rsidR="0019511D" w:rsidRPr="008749E7" w:rsidRDefault="0019511D" w:rsidP="008749E7">
      <w:pPr>
        <w:pStyle w:val="Contenutextezone"/>
        <w:numPr>
          <w:ilvl w:val="0"/>
          <w:numId w:val="4"/>
        </w:numPr>
        <w:spacing w:before="120" w:after="120" w:line="240" w:lineRule="auto"/>
        <w:ind w:left="378" w:right="45"/>
      </w:pPr>
      <w:r w:rsidRPr="008749E7">
        <w:t>Votre place sera confirmée à la réception d'un devis ou ""</w:t>
      </w:r>
      <w:proofErr w:type="spellStart"/>
      <w:r w:rsidRPr="008749E7">
        <w:t>booking</w:t>
      </w:r>
      <w:proofErr w:type="spellEnd"/>
      <w:r w:rsidRPr="008749E7">
        <w:t xml:space="preserve"> </w:t>
      </w:r>
      <w:proofErr w:type="spellStart"/>
      <w:r w:rsidRPr="008749E7">
        <w:t>form</w:t>
      </w:r>
      <w:proofErr w:type="spellEnd"/>
      <w:r w:rsidRPr="008749E7">
        <w:t>"" signé. Vous recevrez ensuite la convocation et les modalités d'accès en présentiel ou distanciel.</w:t>
      </w:r>
    </w:p>
    <w:p w14:paraId="25DC0B12" w14:textId="27990FEA" w:rsidR="0019511D" w:rsidRPr="008749E7" w:rsidRDefault="0019511D" w:rsidP="008749E7">
      <w:pPr>
        <w:pStyle w:val="Contenutextezone"/>
        <w:numPr>
          <w:ilvl w:val="0"/>
          <w:numId w:val="4"/>
        </w:numPr>
        <w:spacing w:before="120" w:after="120" w:line="240" w:lineRule="auto"/>
        <w:ind w:left="378" w:right="45"/>
      </w:pPr>
      <w:r w:rsidRPr="008749E7">
        <w:t>Attention, si vous utilisez votre Compte Personnel de Formation pour financer votre inscription, vous devrez respecter un délai minimum et non négociable fixé à 11 jours ouvrés.</w:t>
      </w:r>
    </w:p>
    <w:p w14:paraId="7EF87F31" w14:textId="77777777" w:rsidR="0019511D" w:rsidRPr="004D3292" w:rsidRDefault="0019511D" w:rsidP="008749E7">
      <w:pPr>
        <w:pStyle w:val="Contenutextezone"/>
        <w:pBdr>
          <w:bottom w:val="single" w:sz="2" w:space="1" w:color="002060"/>
        </w:pBdr>
        <w:spacing w:before="120" w:after="120" w:line="240" w:lineRule="auto"/>
        <w:ind w:right="45"/>
      </w:pPr>
    </w:p>
    <w:sectPr w:rsidR="0019511D" w:rsidRPr="004D329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2086" w14:textId="77777777" w:rsidR="004A651A" w:rsidRDefault="004A651A" w:rsidP="00CE0E2B">
      <w:pPr>
        <w:spacing w:after="0" w:line="240" w:lineRule="auto"/>
      </w:pPr>
      <w:r>
        <w:separator/>
      </w:r>
    </w:p>
  </w:endnote>
  <w:endnote w:type="continuationSeparator" w:id="0">
    <w:p w14:paraId="68A06EC3" w14:textId="77777777" w:rsidR="004A651A" w:rsidRDefault="004A651A" w:rsidP="00CE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460C" w14:textId="77777777" w:rsidR="00C71253" w:rsidRDefault="00C712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219" w14:textId="77777777" w:rsidR="008A29F9" w:rsidRDefault="008A29F9" w:rsidP="00CE0E2B">
    <w:pPr>
      <w:pStyle w:val="Pieddepage"/>
      <w:pBdr>
        <w:top w:val="single" w:sz="2" w:space="1" w:color="002060"/>
      </w:pBdr>
      <w:jc w:val="right"/>
      <w:rPr>
        <w:rFonts w:ascii="Arial" w:hAnsi="Arial" w:cs="Arial"/>
        <w:color w:val="004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2051" w14:textId="77777777" w:rsidR="00C71253" w:rsidRDefault="00C7125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C955" w14:textId="77777777" w:rsidR="00CE0E2B" w:rsidRDefault="00CE0E2B" w:rsidP="00CE0E2B">
    <w:pPr>
      <w:pStyle w:val="Pieddepage"/>
      <w:pBdr>
        <w:top w:val="single" w:sz="2" w:space="1" w:color="002060"/>
      </w:pBdr>
      <w:jc w:val="right"/>
      <w:rPr>
        <w:rFonts w:ascii="Arial" w:hAnsi="Arial" w:cs="Arial"/>
        <w:color w:val="004080"/>
        <w:sz w:val="16"/>
        <w:szCs w:val="16"/>
      </w:rPr>
    </w:pPr>
  </w:p>
  <w:p w14:paraId="5BF02B0E" w14:textId="37DCD5F8" w:rsidR="00CE0E2B" w:rsidRPr="00AC01A2" w:rsidRDefault="00000000" w:rsidP="00CE0E2B">
    <w:pPr>
      <w:pStyle w:val="Pieddepage"/>
      <w:pBdr>
        <w:top w:val="single" w:sz="2" w:space="1" w:color="002060"/>
      </w:pBdr>
      <w:jc w:val="right"/>
      <w:rPr>
        <w:color w:val="002060"/>
      </w:rPr>
    </w:pPr>
    <w:hyperlink r:id="rId1" w:history="1">
      <w:r w:rsidR="00CE0E2B" w:rsidRPr="00AC01A2">
        <w:rPr>
          <w:rStyle w:val="Lienhypertexte"/>
          <w:rFonts w:ascii="Arial" w:hAnsi="Arial" w:cs="Arial"/>
          <w:color w:val="002060"/>
          <w:sz w:val="16"/>
          <w:szCs w:val="16"/>
        </w:rPr>
        <w:t>www.globalknowledge.com/fr-fr/</w:t>
      </w:r>
    </w:hyperlink>
    <w:r w:rsidR="00CE0E2B" w:rsidRPr="00AC01A2">
      <w:rPr>
        <w:rFonts w:ascii="Arial" w:hAnsi="Arial" w:cs="Arial"/>
        <w:color w:val="002060"/>
        <w:sz w:val="16"/>
        <w:szCs w:val="16"/>
      </w:rPr>
      <w:tab/>
      <w:t xml:space="preserve"> </w:t>
    </w:r>
    <w:hyperlink r:id="rId2" w:history="1">
      <w:r w:rsidR="00CE0E2B" w:rsidRPr="00AC01A2">
        <w:rPr>
          <w:rStyle w:val="Lienhypertexte"/>
          <w:rFonts w:ascii="Arial" w:hAnsi="Arial" w:cs="Arial"/>
          <w:color w:val="002060"/>
          <w:sz w:val="16"/>
          <w:szCs w:val="16"/>
        </w:rPr>
        <w:t>info@globalknowledge.fr</w:t>
      </w:r>
    </w:hyperlink>
    <w:r w:rsidR="00CE0E2B" w:rsidRPr="00AC01A2">
      <w:rPr>
        <w:rFonts w:ascii="Arial" w:hAnsi="Arial" w:cs="Arial"/>
        <w:color w:val="002060"/>
        <w:sz w:val="16"/>
        <w:szCs w:val="16"/>
      </w:rPr>
      <w:tab/>
      <w:t>01 78 15 34 00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2639" w14:textId="77777777" w:rsidR="004A651A" w:rsidRDefault="004A651A" w:rsidP="00CE0E2B">
      <w:pPr>
        <w:spacing w:after="0" w:line="240" w:lineRule="auto"/>
      </w:pPr>
      <w:r>
        <w:separator/>
      </w:r>
    </w:p>
  </w:footnote>
  <w:footnote w:type="continuationSeparator" w:id="0">
    <w:p w14:paraId="6C40F15B" w14:textId="77777777" w:rsidR="004A651A" w:rsidRDefault="004A651A" w:rsidP="00CE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636D" w14:textId="77777777" w:rsidR="00C71253" w:rsidRDefault="00C712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9A0B" w14:textId="602A435F" w:rsidR="008A29F9" w:rsidRDefault="008A29F9">
    <w:pPr>
      <w:pStyle w:val="En-tte"/>
    </w:pPr>
  </w:p>
  <w:p w14:paraId="6A5E54E9" w14:textId="77777777" w:rsidR="008A29F9" w:rsidRDefault="008A29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0B12" w14:textId="77777777" w:rsidR="00C71253" w:rsidRDefault="00C7125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3C3E" w14:textId="75F1685E" w:rsidR="00CE0E2B" w:rsidRDefault="00CE0E2B">
    <w:pPr>
      <w:pStyle w:val="En-tte"/>
    </w:pPr>
    <w:r>
      <w:rPr>
        <w:noProof/>
      </w:rPr>
      <w:drawing>
        <wp:inline distT="0" distB="0" distL="0" distR="0" wp14:anchorId="0BF4E5EA" wp14:editId="3F4D2746">
          <wp:extent cx="1219202" cy="469393"/>
          <wp:effectExtent l="0" t="0" r="0" b="6985"/>
          <wp:docPr id="1" name="Image 1" descr="Une image contenant texte, bouteille, extérieur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bouteille, extérieur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DE312" w14:textId="77777777" w:rsidR="00CE0E2B" w:rsidRDefault="00CE0E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ontenupucescolonneszones"/>
      <w:lvlText w:val=""/>
      <w:lvlJc w:val="left"/>
      <w:pPr>
        <w:tabs>
          <w:tab w:val="num" w:pos="0"/>
        </w:tabs>
        <w:ind w:left="731" w:hanging="360"/>
      </w:pPr>
      <w:rPr>
        <w:rFonts w:ascii="Wingdings" w:hAnsi="Wingdings" w:cs="Wingdings"/>
        <w:color w:val="FFC000"/>
        <w:sz w:val="24"/>
        <w:szCs w:val="24"/>
      </w:rPr>
    </w:lvl>
  </w:abstractNum>
  <w:abstractNum w:abstractNumId="1" w15:restartNumberingAfterBreak="0">
    <w:nsid w:val="0D45453F"/>
    <w:multiLevelType w:val="hybridMultilevel"/>
    <w:tmpl w:val="9CF4A63A"/>
    <w:lvl w:ilvl="0" w:tplc="9EA21738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  <w:color w:val="FFC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ACE"/>
    <w:multiLevelType w:val="hybridMultilevel"/>
    <w:tmpl w:val="A23A3BDE"/>
    <w:lvl w:ilvl="0" w:tplc="B76E9270">
      <w:start w:val="1"/>
      <w:numFmt w:val="bullet"/>
      <w:lvlText w:val=""/>
      <w:lvlJc w:val="left"/>
      <w:pPr>
        <w:ind w:left="731" w:hanging="360"/>
      </w:pPr>
      <w:rPr>
        <w:rFonts w:ascii="Wingdings" w:hAnsi="Wingdings" w:cs="Wingdings" w:hint="default"/>
        <w:color w:val="FFC000" w:themeColor="accent4"/>
        <w:u w:color="FFC000"/>
      </w:rPr>
    </w:lvl>
    <w:lvl w:ilvl="1" w:tplc="040C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C4946CC"/>
    <w:multiLevelType w:val="hybridMultilevel"/>
    <w:tmpl w:val="74685DC4"/>
    <w:lvl w:ilvl="0" w:tplc="D14E2FDC">
      <w:numFmt w:val="bullet"/>
      <w:lvlText w:val="-"/>
      <w:lvlJc w:val="left"/>
      <w:pPr>
        <w:ind w:left="72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E345F9D"/>
    <w:multiLevelType w:val="hybridMultilevel"/>
    <w:tmpl w:val="CE484B84"/>
    <w:lvl w:ilvl="0" w:tplc="B76E9270">
      <w:start w:val="1"/>
      <w:numFmt w:val="bullet"/>
      <w:lvlText w:val=""/>
      <w:lvlJc w:val="left"/>
      <w:pPr>
        <w:ind w:left="731" w:hanging="360"/>
      </w:pPr>
      <w:rPr>
        <w:rFonts w:ascii="Wingdings" w:hAnsi="Wingdings" w:cs="Wingdings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3C107CF3"/>
    <w:multiLevelType w:val="hybridMultilevel"/>
    <w:tmpl w:val="D09687C0"/>
    <w:lvl w:ilvl="0" w:tplc="07C0BBEC">
      <w:numFmt w:val="bullet"/>
      <w:lvlText w:val="-"/>
      <w:lvlJc w:val="left"/>
      <w:pPr>
        <w:ind w:left="72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1737583118">
    <w:abstractNumId w:val="0"/>
  </w:num>
  <w:num w:numId="2" w16cid:durableId="334192768">
    <w:abstractNumId w:val="1"/>
  </w:num>
  <w:num w:numId="3" w16cid:durableId="255554683">
    <w:abstractNumId w:val="2"/>
  </w:num>
  <w:num w:numId="4" w16cid:durableId="503513404">
    <w:abstractNumId w:val="4"/>
  </w:num>
  <w:num w:numId="5" w16cid:durableId="531501068">
    <w:abstractNumId w:val="5"/>
  </w:num>
  <w:num w:numId="6" w16cid:durableId="1796825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93"/>
    <w:rsid w:val="00015D96"/>
    <w:rsid w:val="000715D3"/>
    <w:rsid w:val="00092F7B"/>
    <w:rsid w:val="00120509"/>
    <w:rsid w:val="00142490"/>
    <w:rsid w:val="0019511D"/>
    <w:rsid w:val="001A6A81"/>
    <w:rsid w:val="001C4DB3"/>
    <w:rsid w:val="001C7CB1"/>
    <w:rsid w:val="001F2E9B"/>
    <w:rsid w:val="00272F9B"/>
    <w:rsid w:val="002A0B64"/>
    <w:rsid w:val="002D6BA5"/>
    <w:rsid w:val="003267B7"/>
    <w:rsid w:val="00340447"/>
    <w:rsid w:val="003622DF"/>
    <w:rsid w:val="00382EC5"/>
    <w:rsid w:val="003964CA"/>
    <w:rsid w:val="003B3D05"/>
    <w:rsid w:val="003B5A38"/>
    <w:rsid w:val="003C78C5"/>
    <w:rsid w:val="0041439F"/>
    <w:rsid w:val="00431347"/>
    <w:rsid w:val="004411CD"/>
    <w:rsid w:val="00451F8D"/>
    <w:rsid w:val="00484314"/>
    <w:rsid w:val="00494F95"/>
    <w:rsid w:val="004A651A"/>
    <w:rsid w:val="004B009F"/>
    <w:rsid w:val="004C432B"/>
    <w:rsid w:val="004D0720"/>
    <w:rsid w:val="004D3292"/>
    <w:rsid w:val="004E713A"/>
    <w:rsid w:val="00541D31"/>
    <w:rsid w:val="00551692"/>
    <w:rsid w:val="00563B30"/>
    <w:rsid w:val="00565DBA"/>
    <w:rsid w:val="00567CDC"/>
    <w:rsid w:val="005D697B"/>
    <w:rsid w:val="005F01E3"/>
    <w:rsid w:val="005F4C44"/>
    <w:rsid w:val="00625297"/>
    <w:rsid w:val="00640B83"/>
    <w:rsid w:val="00656A9D"/>
    <w:rsid w:val="006A72C4"/>
    <w:rsid w:val="006B4F2F"/>
    <w:rsid w:val="006E1202"/>
    <w:rsid w:val="007221C4"/>
    <w:rsid w:val="007918EA"/>
    <w:rsid w:val="007B6078"/>
    <w:rsid w:val="007B692B"/>
    <w:rsid w:val="007E5FB7"/>
    <w:rsid w:val="00811717"/>
    <w:rsid w:val="00845449"/>
    <w:rsid w:val="008749E7"/>
    <w:rsid w:val="008A29F9"/>
    <w:rsid w:val="008B6E3A"/>
    <w:rsid w:val="008E5A76"/>
    <w:rsid w:val="00956013"/>
    <w:rsid w:val="009C0AE9"/>
    <w:rsid w:val="009F0F41"/>
    <w:rsid w:val="009F3ED6"/>
    <w:rsid w:val="009F4498"/>
    <w:rsid w:val="00A20F9C"/>
    <w:rsid w:val="00A61BE2"/>
    <w:rsid w:val="00A76CD1"/>
    <w:rsid w:val="00A77993"/>
    <w:rsid w:val="00A779EB"/>
    <w:rsid w:val="00A97D94"/>
    <w:rsid w:val="00AC01A2"/>
    <w:rsid w:val="00AE17E5"/>
    <w:rsid w:val="00B11C55"/>
    <w:rsid w:val="00B41276"/>
    <w:rsid w:val="00B478B5"/>
    <w:rsid w:val="00B569E5"/>
    <w:rsid w:val="00B86EBF"/>
    <w:rsid w:val="00BB1731"/>
    <w:rsid w:val="00BC11C9"/>
    <w:rsid w:val="00BC5E2D"/>
    <w:rsid w:val="00BE1ADA"/>
    <w:rsid w:val="00BE2999"/>
    <w:rsid w:val="00C405BB"/>
    <w:rsid w:val="00C428A3"/>
    <w:rsid w:val="00C54BC1"/>
    <w:rsid w:val="00C561C1"/>
    <w:rsid w:val="00C71253"/>
    <w:rsid w:val="00C77F4A"/>
    <w:rsid w:val="00C91A8A"/>
    <w:rsid w:val="00CD24F9"/>
    <w:rsid w:val="00CE0E2B"/>
    <w:rsid w:val="00E02488"/>
    <w:rsid w:val="00E23F11"/>
    <w:rsid w:val="00E34CC8"/>
    <w:rsid w:val="00E81EB2"/>
    <w:rsid w:val="00E92710"/>
    <w:rsid w:val="00E97B3B"/>
    <w:rsid w:val="00EB0A1C"/>
    <w:rsid w:val="00EE484D"/>
    <w:rsid w:val="00F27C92"/>
    <w:rsid w:val="00F328CE"/>
    <w:rsid w:val="00F3750B"/>
    <w:rsid w:val="00F83CF1"/>
    <w:rsid w:val="00F94E2E"/>
    <w:rsid w:val="00FB4D91"/>
    <w:rsid w:val="00FD4761"/>
    <w:rsid w:val="00FF0355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B06"/>
  <w15:chartTrackingRefBased/>
  <w15:docId w15:val="{1FDADE77-DF33-4FC7-AA23-24496CD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E2B"/>
  </w:style>
  <w:style w:type="paragraph" w:styleId="Pieddepage">
    <w:name w:val="footer"/>
    <w:basedOn w:val="Normal"/>
    <w:link w:val="PieddepageCar"/>
    <w:uiPriority w:val="99"/>
    <w:unhideWhenUsed/>
    <w:rsid w:val="00CE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E2B"/>
  </w:style>
  <w:style w:type="character" w:styleId="Lienhypertexte">
    <w:name w:val="Hyperlink"/>
    <w:basedOn w:val="Policepardfaut"/>
    <w:uiPriority w:val="99"/>
    <w:unhideWhenUsed/>
    <w:rsid w:val="00CE0E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0E2B"/>
    <w:rPr>
      <w:color w:val="605E5C"/>
      <w:shd w:val="clear" w:color="auto" w:fill="E1DFDD"/>
    </w:rPr>
  </w:style>
  <w:style w:type="paragraph" w:customStyle="1" w:styleId="ContenuTitre">
    <w:name w:val="Contenu_Titre"/>
    <w:basedOn w:val="Normal"/>
    <w:rsid w:val="00CE0E2B"/>
    <w:pPr>
      <w:suppressAutoHyphens/>
      <w:spacing w:before="240" w:after="120" w:line="240" w:lineRule="auto"/>
      <w:jc w:val="both"/>
    </w:pPr>
    <w:rPr>
      <w:rFonts w:ascii="Arial" w:eastAsia="Calibri" w:hAnsi="Arial" w:cs="Arial"/>
      <w:b/>
      <w:bCs/>
      <w:color w:val="003264"/>
      <w:spacing w:val="-3"/>
      <w:sz w:val="24"/>
      <w:szCs w:val="24"/>
      <w:lang w:val="en-US" w:eastAsia="zh-CN"/>
    </w:rPr>
  </w:style>
  <w:style w:type="paragraph" w:customStyle="1" w:styleId="Contenutextezone">
    <w:name w:val="Contenu_texte_zone"/>
    <w:basedOn w:val="Normal"/>
    <w:qFormat/>
    <w:rsid w:val="00CE0E2B"/>
    <w:pPr>
      <w:widowControl w:val="0"/>
      <w:suppressAutoHyphens/>
      <w:autoSpaceDE w:val="0"/>
      <w:spacing w:after="0" w:line="169" w:lineRule="exact"/>
      <w:ind w:left="11" w:right="48"/>
      <w:jc w:val="both"/>
    </w:pPr>
    <w:rPr>
      <w:rFonts w:ascii="Arial" w:eastAsia="Calibri" w:hAnsi="Arial" w:cs="Arial"/>
      <w:spacing w:val="-1"/>
      <w:sz w:val="16"/>
      <w:szCs w:val="16"/>
      <w:lang w:eastAsia="zh-CN"/>
    </w:rPr>
  </w:style>
  <w:style w:type="character" w:customStyle="1" w:styleId="WW8Num5z0">
    <w:name w:val="WW8Num5z0"/>
    <w:rsid w:val="00CE0E2B"/>
    <w:rPr>
      <w:rFonts w:ascii="Symbol" w:hAnsi="Symbol" w:cs="Symbol"/>
    </w:rPr>
  </w:style>
  <w:style w:type="paragraph" w:customStyle="1" w:styleId="Contenutitrezone">
    <w:name w:val="Contenu_titre_zone"/>
    <w:basedOn w:val="Normal"/>
    <w:rsid w:val="00CE0E2B"/>
    <w:pPr>
      <w:suppressAutoHyphens/>
      <w:spacing w:before="120" w:after="120" w:line="240" w:lineRule="auto"/>
      <w:jc w:val="both"/>
    </w:pPr>
    <w:rPr>
      <w:rFonts w:ascii="Arial" w:eastAsia="Calibri" w:hAnsi="Arial" w:cs="Arial"/>
      <w:color w:val="003264"/>
      <w:spacing w:val="-9"/>
      <w:lang w:eastAsia="zh-CN"/>
    </w:rPr>
  </w:style>
  <w:style w:type="paragraph" w:customStyle="1" w:styleId="Contenupucescolonneszones">
    <w:name w:val="Contenu_puces_colonnes_zones"/>
    <w:basedOn w:val="Normal"/>
    <w:qFormat/>
    <w:rsid w:val="00CE0E2B"/>
    <w:pPr>
      <w:widowControl w:val="0"/>
      <w:numPr>
        <w:numId w:val="1"/>
      </w:numPr>
      <w:suppressAutoHyphens/>
      <w:autoSpaceDE w:val="0"/>
      <w:spacing w:after="0" w:line="167" w:lineRule="exact"/>
      <w:ind w:right="75"/>
      <w:contextualSpacing/>
      <w:jc w:val="both"/>
    </w:pPr>
    <w:rPr>
      <w:rFonts w:ascii="Arial" w:eastAsia="Calibri" w:hAnsi="Arial" w:cs="Arial"/>
      <w:spacing w:val="-2"/>
      <w:sz w:val="16"/>
      <w:szCs w:val="16"/>
      <w:lang w:eastAsia="zh-CN"/>
    </w:rPr>
  </w:style>
  <w:style w:type="paragraph" w:customStyle="1" w:styleId="Default">
    <w:name w:val="Default"/>
    <w:rsid w:val="00874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lobalknowledge.fr" TargetMode="External"/><Relationship Id="rId1" Type="http://schemas.openxmlformats.org/officeDocument/2006/relationships/hyperlink" Target="http://www.globalknowledge.com/fr-fr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23cda0-ec73-4f17-ab0e-4f427686034e">
      <Terms xmlns="http://schemas.microsoft.com/office/infopath/2007/PartnerControls"/>
    </lcf76f155ced4ddcb4097134ff3c332f>
    <TaxCatchAll xmlns="a8955247-6827-41f5-88e9-1eedaf905e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C12FE08A274419385613562885EAB" ma:contentTypeVersion="11" ma:contentTypeDescription="Crée un document." ma:contentTypeScope="" ma:versionID="968c27e49aafa9bc9be7819fc5da704b">
  <xsd:schema xmlns:xsd="http://www.w3.org/2001/XMLSchema" xmlns:xs="http://www.w3.org/2001/XMLSchema" xmlns:p="http://schemas.microsoft.com/office/2006/metadata/properties" xmlns:ns2="1a23cda0-ec73-4f17-ab0e-4f427686034e" xmlns:ns3="a8955247-6827-41f5-88e9-1eedaf905e49" targetNamespace="http://schemas.microsoft.com/office/2006/metadata/properties" ma:root="true" ma:fieldsID="c182a562961be7e5f2a4525a707f8b62" ns2:_="" ns3:_="">
    <xsd:import namespace="1a23cda0-ec73-4f17-ab0e-4f427686034e"/>
    <xsd:import namespace="a8955247-6827-41f5-88e9-1eedaf905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da0-ec73-4f17-ab0e-4f4276860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33007cfc-bc4b-4135-b5fc-b67693386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55247-6827-41f5-88e9-1eedaf905e4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8e98273-7cf9-43f8-8318-faa32b55e68e}" ma:internalName="TaxCatchAll" ma:showField="CatchAllData" ma:web="a8955247-6827-41f5-88e9-1eedaf905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94070-73AB-418F-9665-176A7A469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E452E-5E07-429A-B834-3CA52E25C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0B508-5BBF-4953-AC8A-645EBED2E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Franchet</dc:creator>
  <cp:keywords/>
  <dc:description/>
  <cp:lastModifiedBy>Jean-Michel TEISSIER</cp:lastModifiedBy>
  <cp:revision>95</cp:revision>
  <dcterms:created xsi:type="dcterms:W3CDTF">2021-12-10T15:24:00Z</dcterms:created>
  <dcterms:modified xsi:type="dcterms:W3CDTF">2022-07-11T12:00:00Z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0x010100291C12FE08A274419385613562885EAB</vt:lpwstr>
  </property>
</Properties>
</file>